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pStyle w:val="TITULO-2"/>
        <w:tabs>
          <w:tab w:val="clear" w:pos="792"/>
        </w:tabs>
        <w:ind w:left="4" w:firstLine="0"/>
        <w:rPr>
          <w:rFonts w:cs="Arial"/>
          <w:i w:val="0"/>
          <w:caps w:val="0"/>
          <w:sz w:val="22"/>
          <w:szCs w:val="22"/>
          <w:u w:val="none"/>
          <w:lang w:val="es-MX"/>
        </w:rPr>
      </w:pPr>
      <w:bookmarkStart w:id="0" w:name="_GoBack"/>
      <w:bookmarkEnd w:id="0"/>
      <w:r w:rsidRPr="002B7E4F">
        <w:rPr>
          <w:rFonts w:cs="Arial"/>
          <w:i w:val="0"/>
          <w:caps w:val="0"/>
          <w:sz w:val="22"/>
          <w:szCs w:val="22"/>
          <w:u w:val="none"/>
          <w:lang w:val="es-MX"/>
        </w:rPr>
        <w:t>EP</w:t>
      </w:r>
      <w:r w:rsidR="00715976">
        <w:rPr>
          <w:rFonts w:cs="Arial"/>
          <w:i w:val="0"/>
          <w:caps w:val="0"/>
          <w:sz w:val="22"/>
          <w:szCs w:val="22"/>
          <w:u w:val="none"/>
          <w:lang w:val="es-MX"/>
        </w:rPr>
        <w:t>.</w:t>
      </w:r>
      <w:r w:rsidRPr="002B7E4F">
        <w:rPr>
          <w:rFonts w:cs="Arial"/>
          <w:i w:val="0"/>
          <w:caps w:val="0"/>
          <w:sz w:val="22"/>
          <w:szCs w:val="22"/>
          <w:u w:val="none"/>
          <w:lang w:val="es-MX"/>
        </w:rPr>
        <w:t xml:space="preserve"> 99</w:t>
      </w:r>
      <w:r w:rsidR="00715976">
        <w:rPr>
          <w:rFonts w:cs="Arial"/>
          <w:i w:val="0"/>
          <w:caps w:val="0"/>
          <w:sz w:val="22"/>
          <w:szCs w:val="22"/>
          <w:u w:val="none"/>
          <w:lang w:val="es-MX"/>
        </w:rPr>
        <w:t>.-</w:t>
      </w:r>
      <w:r w:rsidRPr="002B7E4F">
        <w:rPr>
          <w:rFonts w:cs="Arial"/>
          <w:i w:val="0"/>
          <w:caps w:val="0"/>
          <w:sz w:val="22"/>
          <w:szCs w:val="22"/>
          <w:u w:val="none"/>
          <w:lang w:val="es-MX"/>
        </w:rPr>
        <w:t xml:space="preserve"> REJILLAS Y DIFUSORES DE INYECCIÓN.</w:t>
      </w:r>
    </w:p>
    <w:p w:rsidR="002B7E4F" w:rsidRPr="002B7E4F" w:rsidRDefault="002B7E4F" w:rsidP="002B7E4F">
      <w:pPr>
        <w:jc w:val="both"/>
        <w:rPr>
          <w:rFonts w:ascii="Arial" w:hAnsi="Arial" w:cs="Arial"/>
          <w:sz w:val="22"/>
          <w:szCs w:val="22"/>
        </w:rPr>
      </w:pPr>
      <w:r w:rsidRPr="002B7E4F">
        <w:rPr>
          <w:rFonts w:ascii="Arial" w:hAnsi="Arial" w:cs="Arial"/>
          <w:sz w:val="22"/>
          <w:szCs w:val="22"/>
        </w:rPr>
        <w:t>Suministro e instalación de rejillas y difusores de inyección  de aire de doble deflexión  de aluminio de dimensiones indicadas en planos El P.U. incluye:  material de fijación, materiales, desperdicios, mano de obra, herramienta, almacenamiento, limpieza y retiro de material fuera de la obra, pruebas, puesta en marcha y todo lo necesario para su correcto funcionamiento.</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25"/>
        </w:numPr>
        <w:rPr>
          <w:rFonts w:ascii="Arial" w:hAnsi="Arial" w:cs="Arial"/>
          <w:b/>
          <w:sz w:val="22"/>
          <w:szCs w:val="22"/>
        </w:rPr>
      </w:pPr>
      <w:bookmarkStart w:id="1" w:name="_Toc368152442"/>
      <w:r w:rsidRPr="002B7E4F">
        <w:rPr>
          <w:rFonts w:ascii="Arial" w:hAnsi="Arial" w:cs="Arial"/>
          <w:b/>
          <w:sz w:val="22"/>
          <w:szCs w:val="22"/>
        </w:rPr>
        <w:t>Características Técnicas</w:t>
      </w:r>
      <w:bookmarkEnd w:id="1"/>
    </w:p>
    <w:p w:rsidR="002B7E4F" w:rsidRPr="002B7E4F" w:rsidRDefault="002B7E4F" w:rsidP="002B7E4F">
      <w:pPr>
        <w:widowControl w:val="0"/>
        <w:ind w:right="508"/>
        <w:jc w:val="both"/>
        <w:rPr>
          <w:rFonts w:ascii="Arial" w:hAnsi="Arial" w:cs="Arial"/>
          <w:spacing w:val="-1"/>
          <w:sz w:val="22"/>
          <w:szCs w:val="22"/>
        </w:rPr>
      </w:pP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 xml:space="preserve">Las rejillas de inyección estarán contemplados para su uso en dos zonas: el área de andenes  y el área de vestíbulo. Cada uno de ellos relacionados por su funcionalidad. </w:t>
      </w:r>
    </w:p>
    <w:p w:rsidR="002B7E4F" w:rsidRPr="002B7E4F" w:rsidRDefault="002B7E4F" w:rsidP="00462F48">
      <w:pPr>
        <w:pStyle w:val="TITULO-4"/>
        <w:numPr>
          <w:ilvl w:val="3"/>
          <w:numId w:val="25"/>
        </w:numPr>
        <w:rPr>
          <w:sz w:val="22"/>
          <w:szCs w:val="22"/>
        </w:rPr>
      </w:pPr>
      <w:bookmarkStart w:id="2" w:name="_Toc368152443"/>
      <w:r w:rsidRPr="002B7E4F">
        <w:rPr>
          <w:sz w:val="22"/>
          <w:szCs w:val="22"/>
        </w:rPr>
        <w:t>Rejillas de inyección tipo industrial  con aletas aerodinámicas para zona de andenes.</w:t>
      </w:r>
      <w:bookmarkEnd w:id="2"/>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Estas rejillas de inyección de aire son de tipo rectangular con 1-1/2” de espaciamiento entre aletas.</w:t>
      </w: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Estas aletas están configuradas de manera individual, ajustables para cualquier ángulo de deflexión que permiten un óptimo flujo de aire y mantienen un patrón de distribución con velocidades de hasta 2000 ft/min.</w:t>
      </w: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Deberán estar diseñadas y construidas para una alta velocidad de manejo y distribución de aire en instalaciones donde es importante el control de la temperatura y de la humedad.</w:t>
      </w: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Estará construido con marco y aletas de aluminio extruido de alta calidad, aleación 6063-T5, de gran robustez. Deberá ser resistente a la corrosión, de gran durabilidad y que no es afectado por las altas velocidades del aire ni por las altas humedades ambientales.</w:t>
      </w: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El acabado deberá ser en pintura electrostática, esmalte acrílico de secado al horno.</w:t>
      </w: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Las dimensiones serán en base a lo estipulado en el proyecto ejecutivo.</w:t>
      </w:r>
    </w:p>
    <w:p w:rsidR="002B7E4F" w:rsidRPr="002B7E4F" w:rsidRDefault="002B7E4F" w:rsidP="002B7E4F">
      <w:pPr>
        <w:widowControl w:val="0"/>
        <w:ind w:right="508"/>
        <w:jc w:val="both"/>
        <w:rPr>
          <w:rFonts w:ascii="Arial" w:hAnsi="Arial" w:cs="Arial"/>
          <w:spacing w:val="-1"/>
          <w:sz w:val="22"/>
          <w:szCs w:val="22"/>
        </w:rPr>
      </w:pP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noProof/>
          <w:spacing w:val="-1"/>
          <w:sz w:val="22"/>
          <w:szCs w:val="22"/>
          <w:lang w:val="es-MX" w:eastAsia="es-MX"/>
        </w:rPr>
        <w:lastRenderedPageBreak/>
        <w:drawing>
          <wp:inline distT="0" distB="0" distL="0" distR="0">
            <wp:extent cx="5273675" cy="3263900"/>
            <wp:effectExtent l="19050" t="0" r="3175" b="0"/>
            <wp:docPr id="3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273675" cy="3263900"/>
                    </a:xfrm>
                    <a:prstGeom prst="rect">
                      <a:avLst/>
                    </a:prstGeom>
                    <a:noFill/>
                    <a:ln w="9525">
                      <a:noFill/>
                      <a:miter lim="800000"/>
                      <a:headEnd/>
                      <a:tailEnd/>
                    </a:ln>
                  </pic:spPr>
                </pic:pic>
              </a:graphicData>
            </a:graphic>
          </wp:inline>
        </w:drawing>
      </w:r>
    </w:p>
    <w:p w:rsidR="002B7E4F" w:rsidRPr="002B7E4F" w:rsidRDefault="002B7E4F" w:rsidP="002B7E4F">
      <w:pPr>
        <w:widowControl w:val="0"/>
        <w:ind w:right="508"/>
        <w:jc w:val="both"/>
        <w:rPr>
          <w:rFonts w:ascii="Arial" w:hAnsi="Arial" w:cs="Arial"/>
          <w:spacing w:val="-1"/>
          <w:sz w:val="22"/>
          <w:szCs w:val="22"/>
        </w:rPr>
      </w:pPr>
    </w:p>
    <w:p w:rsidR="002B7E4F" w:rsidRPr="002B7E4F" w:rsidRDefault="002B7E4F" w:rsidP="002B7E4F">
      <w:pPr>
        <w:widowControl w:val="0"/>
        <w:ind w:right="508"/>
        <w:jc w:val="both"/>
        <w:rPr>
          <w:rFonts w:ascii="Arial" w:hAnsi="Arial" w:cs="Arial"/>
          <w:spacing w:val="-1"/>
          <w:sz w:val="22"/>
          <w:szCs w:val="22"/>
        </w:rPr>
      </w:pP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noProof/>
          <w:spacing w:val="-1"/>
          <w:sz w:val="22"/>
          <w:szCs w:val="22"/>
          <w:lang w:val="es-MX" w:eastAsia="es-MX"/>
        </w:rPr>
        <w:drawing>
          <wp:inline distT="0" distB="0" distL="0" distR="0">
            <wp:extent cx="5167630" cy="2169160"/>
            <wp:effectExtent l="19050" t="0" r="0" b="0"/>
            <wp:docPr id="3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167630" cy="2169160"/>
                    </a:xfrm>
                    <a:prstGeom prst="rect">
                      <a:avLst/>
                    </a:prstGeom>
                    <a:noFill/>
                    <a:ln w="9525">
                      <a:noFill/>
                      <a:miter lim="800000"/>
                      <a:headEnd/>
                      <a:tailEnd/>
                    </a:ln>
                  </pic:spPr>
                </pic:pic>
              </a:graphicData>
            </a:graphic>
          </wp:inline>
        </w:drawing>
      </w:r>
    </w:p>
    <w:p w:rsidR="002B7E4F" w:rsidRPr="002B7E4F" w:rsidRDefault="002B7E4F" w:rsidP="002B7E4F">
      <w:pPr>
        <w:widowControl w:val="0"/>
        <w:ind w:right="508"/>
        <w:jc w:val="both"/>
        <w:rPr>
          <w:rFonts w:ascii="Arial" w:hAnsi="Arial" w:cs="Arial"/>
          <w:spacing w:val="-1"/>
          <w:sz w:val="22"/>
          <w:szCs w:val="22"/>
        </w:rPr>
      </w:pPr>
    </w:p>
    <w:p w:rsidR="002B7E4F" w:rsidRPr="002B7E4F" w:rsidRDefault="002B7E4F" w:rsidP="00462F48">
      <w:pPr>
        <w:pStyle w:val="TITULO-4"/>
        <w:numPr>
          <w:ilvl w:val="3"/>
          <w:numId w:val="25"/>
        </w:numPr>
        <w:rPr>
          <w:sz w:val="22"/>
          <w:szCs w:val="22"/>
        </w:rPr>
      </w:pPr>
      <w:bookmarkStart w:id="3" w:name="_Toc368152444"/>
      <w:r w:rsidRPr="002B7E4F">
        <w:rPr>
          <w:sz w:val="22"/>
          <w:szCs w:val="22"/>
        </w:rPr>
        <w:t>Rejilla de descarga para alta velocidad</w:t>
      </w:r>
      <w:bookmarkEnd w:id="3"/>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 xml:space="preserve">Esta rejilla se implementa en las descargas de aire para la zona de vestíbulo y tiene 6 vías de distribución. </w:t>
      </w: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Tiene la característica de instalación para áreas de gran altura. Su fabricación es en lámina galvanizada de grueso calibre con rejillas de tambor de alto alcance y el tiro deberá poder ser ajustado por medio de movimientos giratorios del tambor y de sus aletas pivoteadas.</w:t>
      </w: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 xml:space="preserve">El interior del gabinete va cubierto de material aislante y acústico debidamente tratado </w:t>
      </w:r>
      <w:r w:rsidRPr="002B7E4F">
        <w:rPr>
          <w:rFonts w:ascii="Arial" w:hAnsi="Arial" w:cs="Arial"/>
          <w:spacing w:val="-1"/>
          <w:sz w:val="22"/>
          <w:szCs w:val="22"/>
        </w:rPr>
        <w:lastRenderedPageBreak/>
        <w:t>para evitar erosión.</w:t>
      </w: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Tendrá un acabado con pintura electrostática.</w:t>
      </w:r>
    </w:p>
    <w:p w:rsidR="002B7E4F" w:rsidRPr="002B7E4F" w:rsidRDefault="002B7E4F" w:rsidP="002B7E4F">
      <w:pPr>
        <w:widowControl w:val="0"/>
        <w:ind w:right="508"/>
        <w:jc w:val="both"/>
        <w:rPr>
          <w:rFonts w:ascii="Arial" w:hAnsi="Arial" w:cs="Arial"/>
          <w:spacing w:val="-1"/>
          <w:sz w:val="22"/>
          <w:szCs w:val="22"/>
        </w:rPr>
      </w:pP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noProof/>
          <w:spacing w:val="-1"/>
          <w:sz w:val="22"/>
          <w:szCs w:val="22"/>
          <w:lang w:val="es-MX" w:eastAsia="es-MX"/>
        </w:rPr>
        <w:drawing>
          <wp:inline distT="0" distB="0" distL="0" distR="0">
            <wp:extent cx="4880610" cy="3115310"/>
            <wp:effectExtent l="19050" t="0" r="0" b="0"/>
            <wp:docPr id="3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4880610" cy="3115310"/>
                    </a:xfrm>
                    <a:prstGeom prst="rect">
                      <a:avLst/>
                    </a:prstGeom>
                    <a:noFill/>
                    <a:ln w="9525">
                      <a:noFill/>
                      <a:miter lim="800000"/>
                      <a:headEnd/>
                      <a:tailEnd/>
                    </a:ln>
                  </pic:spPr>
                </pic:pic>
              </a:graphicData>
            </a:graphic>
          </wp:inline>
        </w:drawing>
      </w:r>
    </w:p>
    <w:p w:rsidR="002B7E4F" w:rsidRPr="002B7E4F" w:rsidRDefault="002B7E4F" w:rsidP="002B7E4F">
      <w:pPr>
        <w:widowControl w:val="0"/>
        <w:ind w:right="508"/>
        <w:jc w:val="both"/>
        <w:rPr>
          <w:rFonts w:ascii="Arial" w:hAnsi="Arial" w:cs="Arial"/>
          <w:spacing w:val="-1"/>
          <w:sz w:val="22"/>
          <w:szCs w:val="22"/>
        </w:rPr>
      </w:pPr>
    </w:p>
    <w:p w:rsidR="002B7E4F" w:rsidRPr="002B7E4F" w:rsidRDefault="002B7E4F" w:rsidP="002B7E4F">
      <w:pPr>
        <w:widowControl w:val="0"/>
        <w:ind w:right="508"/>
        <w:jc w:val="both"/>
        <w:rPr>
          <w:rFonts w:ascii="Arial" w:hAnsi="Arial" w:cs="Arial"/>
          <w:spacing w:val="-1"/>
          <w:sz w:val="22"/>
          <w:szCs w:val="22"/>
        </w:rPr>
      </w:pPr>
    </w:p>
    <w:p w:rsidR="002B7E4F" w:rsidRPr="002B7E4F" w:rsidRDefault="002B7E4F" w:rsidP="002B7E4F">
      <w:pPr>
        <w:widowControl w:val="0"/>
        <w:ind w:right="508"/>
        <w:jc w:val="both"/>
        <w:rPr>
          <w:rFonts w:ascii="Arial" w:hAnsi="Arial" w:cs="Arial"/>
          <w:spacing w:val="-1"/>
          <w:sz w:val="22"/>
          <w:szCs w:val="22"/>
        </w:rPr>
      </w:pP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noProof/>
          <w:spacing w:val="-1"/>
          <w:sz w:val="22"/>
          <w:szCs w:val="22"/>
          <w:lang w:val="es-MX" w:eastAsia="es-MX"/>
        </w:rPr>
        <w:lastRenderedPageBreak/>
        <w:drawing>
          <wp:inline distT="0" distB="0" distL="0" distR="0">
            <wp:extent cx="5741670" cy="7453630"/>
            <wp:effectExtent l="19050" t="0" r="0" b="0"/>
            <wp:docPr id="37"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5741670" cy="7453630"/>
                    </a:xfrm>
                    <a:prstGeom prst="rect">
                      <a:avLst/>
                    </a:prstGeom>
                    <a:noFill/>
                    <a:ln w="9525">
                      <a:noFill/>
                      <a:miter lim="800000"/>
                      <a:headEnd/>
                      <a:tailEnd/>
                    </a:ln>
                  </pic:spPr>
                </pic:pic>
              </a:graphicData>
            </a:graphic>
          </wp:inline>
        </w:drawing>
      </w:r>
    </w:p>
    <w:p w:rsidR="002B7E4F" w:rsidRPr="002B7E4F" w:rsidRDefault="002B7E4F" w:rsidP="00462F48">
      <w:pPr>
        <w:pStyle w:val="TITULO-4"/>
        <w:numPr>
          <w:ilvl w:val="3"/>
          <w:numId w:val="25"/>
        </w:numPr>
        <w:rPr>
          <w:sz w:val="22"/>
          <w:szCs w:val="22"/>
        </w:rPr>
      </w:pPr>
      <w:bookmarkStart w:id="4" w:name="_Toc368152445"/>
      <w:r w:rsidRPr="002B7E4F">
        <w:rPr>
          <w:sz w:val="22"/>
          <w:szCs w:val="22"/>
        </w:rPr>
        <w:lastRenderedPageBreak/>
        <w:t>Rejilla de retorno en puerta.</w:t>
      </w:r>
      <w:bookmarkEnd w:id="4"/>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 xml:space="preserve">Esta rejilla se implementa  sobre puertas de locales técnicos. </w:t>
      </w: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 xml:space="preserve">La rejilla está fabricada en aluminio anodizado, en color blanco. Las dimensiones y ubicación de las mismas están </w:t>
      </w:r>
      <w:proofErr w:type="gramStart"/>
      <w:r w:rsidRPr="002B7E4F">
        <w:rPr>
          <w:rFonts w:ascii="Arial" w:hAnsi="Arial" w:cs="Arial"/>
          <w:spacing w:val="-1"/>
          <w:sz w:val="22"/>
          <w:szCs w:val="22"/>
        </w:rPr>
        <w:t>indicados</w:t>
      </w:r>
      <w:proofErr w:type="gramEnd"/>
      <w:r w:rsidRPr="002B7E4F">
        <w:rPr>
          <w:rFonts w:ascii="Arial" w:hAnsi="Arial" w:cs="Arial"/>
          <w:spacing w:val="-1"/>
          <w:sz w:val="22"/>
          <w:szCs w:val="22"/>
        </w:rPr>
        <w:t xml:space="preserve"> en planos ejecutivos correspondientes.</w:t>
      </w:r>
    </w:p>
    <w:p w:rsidR="002B7E4F" w:rsidRPr="002B7E4F" w:rsidRDefault="002B7E4F" w:rsidP="002B7E4F">
      <w:pPr>
        <w:widowControl w:val="0"/>
        <w:ind w:right="508"/>
        <w:jc w:val="both"/>
        <w:rPr>
          <w:rFonts w:ascii="Arial" w:hAnsi="Arial" w:cs="Arial"/>
          <w:spacing w:val="-1"/>
          <w:sz w:val="22"/>
          <w:szCs w:val="22"/>
        </w:rPr>
      </w:pPr>
      <w:r w:rsidRPr="002B7E4F">
        <w:rPr>
          <w:rFonts w:ascii="Arial" w:hAnsi="Arial" w:cs="Arial"/>
          <w:spacing w:val="-1"/>
          <w:sz w:val="22"/>
          <w:szCs w:val="22"/>
        </w:rPr>
        <w:t xml:space="preserve">Deberán bloquear completamente la visibilidad entre sus rejillas, y las aletas podrán </w:t>
      </w:r>
      <w:proofErr w:type="spellStart"/>
      <w:r w:rsidRPr="002B7E4F">
        <w:rPr>
          <w:rFonts w:ascii="Arial" w:hAnsi="Arial" w:cs="Arial"/>
          <w:spacing w:val="-1"/>
          <w:sz w:val="22"/>
          <w:szCs w:val="22"/>
        </w:rPr>
        <w:t>deflexionarse</w:t>
      </w:r>
      <w:proofErr w:type="spellEnd"/>
      <w:r w:rsidRPr="002B7E4F">
        <w:rPr>
          <w:rFonts w:ascii="Arial" w:hAnsi="Arial" w:cs="Arial"/>
          <w:spacing w:val="-1"/>
          <w:sz w:val="22"/>
          <w:szCs w:val="22"/>
        </w:rPr>
        <w:t xml:space="preserve"> a un ángulo de 77°.</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drawing>
          <wp:inline distT="0" distB="0" distL="0" distR="0">
            <wp:extent cx="2105025" cy="1690370"/>
            <wp:effectExtent l="19050" t="0" r="9525" b="0"/>
            <wp:docPr id="38"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r="3564"/>
                    <a:stretch>
                      <a:fillRect/>
                    </a:stretch>
                  </pic:blipFill>
                  <pic:spPr bwMode="auto">
                    <a:xfrm>
                      <a:off x="0" y="0"/>
                      <a:ext cx="2105025" cy="169037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drawing>
          <wp:inline distT="0" distB="0" distL="0" distR="0">
            <wp:extent cx="5932805" cy="3104515"/>
            <wp:effectExtent l="19050" t="0" r="0" b="0"/>
            <wp:docPr id="42"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5932805" cy="310451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932805" cy="2998470"/>
            <wp:effectExtent l="19050" t="0" r="0" b="0"/>
            <wp:docPr id="43"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5932805" cy="299847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25"/>
        </w:numPr>
        <w:tabs>
          <w:tab w:val="clear" w:pos="1440"/>
          <w:tab w:val="num" w:pos="851"/>
        </w:tabs>
        <w:ind w:left="851" w:hanging="851"/>
        <w:rPr>
          <w:rFonts w:ascii="Arial" w:hAnsi="Arial" w:cs="Arial"/>
          <w:b/>
          <w:sz w:val="22"/>
          <w:szCs w:val="22"/>
        </w:rPr>
      </w:pPr>
      <w:bookmarkStart w:id="5" w:name="_Toc368152446"/>
      <w:r w:rsidRPr="002B7E4F">
        <w:rPr>
          <w:rFonts w:ascii="Arial" w:hAnsi="Arial" w:cs="Arial"/>
          <w:b/>
          <w:sz w:val="22"/>
          <w:szCs w:val="22"/>
        </w:rPr>
        <w:t>Ejecución de Obra</w:t>
      </w:r>
      <w:bookmarkEnd w:id="5"/>
    </w:p>
    <w:p w:rsidR="002B7E4F" w:rsidRPr="002B7E4F" w:rsidRDefault="002B7E4F" w:rsidP="00462F48">
      <w:pPr>
        <w:pStyle w:val="TITULO-4"/>
        <w:numPr>
          <w:ilvl w:val="3"/>
          <w:numId w:val="25"/>
        </w:numPr>
        <w:rPr>
          <w:sz w:val="22"/>
          <w:szCs w:val="22"/>
        </w:rPr>
      </w:pPr>
      <w:bookmarkStart w:id="6" w:name="_Toc368152447"/>
      <w:r w:rsidRPr="002B7E4F">
        <w:rPr>
          <w:sz w:val="22"/>
          <w:szCs w:val="22"/>
        </w:rPr>
        <w:t>Trabajos preliminares</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Estas actividades comprenden </w:t>
      </w:r>
      <w:proofErr w:type="gramStart"/>
      <w:r w:rsidRPr="002B7E4F">
        <w:rPr>
          <w:rFonts w:ascii="Arial" w:hAnsi="Arial" w:cs="Arial"/>
          <w:sz w:val="22"/>
          <w:szCs w:val="22"/>
        </w:rPr>
        <w:t>todas</w:t>
      </w:r>
      <w:proofErr w:type="gramEnd"/>
      <w:r w:rsidRPr="002B7E4F">
        <w:rPr>
          <w:rFonts w:ascii="Arial" w:hAnsi="Arial" w:cs="Arial"/>
          <w:sz w:val="22"/>
          <w:szCs w:val="22"/>
        </w:rPr>
        <w:t xml:space="preserve"> aquellos trabajos o actuaciones previas que deberán de desarrollarse, antes de ejecutar los trabajos de instalación de los equipos de ventilación (inyección o extracción) para los diferentes locales o áreas en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supervisara de manera constante la correcta instalación de los equipos y desde el periodo de fabricación de las mismas. En coordinación con el fabricante de los equipos se harán las visitas a obra necesarias para constatar los tiempos de fabricación y traslado al sitio de la obra.</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25"/>
        </w:numPr>
        <w:rPr>
          <w:sz w:val="22"/>
          <w:szCs w:val="22"/>
        </w:rPr>
      </w:pPr>
      <w:bookmarkStart w:id="7" w:name="_Toc368152448"/>
      <w:r w:rsidRPr="002B7E4F">
        <w:rPr>
          <w:sz w:val="22"/>
          <w:szCs w:val="22"/>
        </w:rPr>
        <w:t>Almacenaje y transporte.</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deberán de supervisar las rutas de traslado de los equipos desde la fábrica hasta el sitio de la obra con el fin de prever los tiempos de traslado y dentro del programa de obra establecido en el </w:t>
      </w:r>
      <w:proofErr w:type="spellStart"/>
      <w:r w:rsidRPr="002B7E4F">
        <w:rPr>
          <w:rFonts w:ascii="Arial" w:hAnsi="Arial" w:cs="Arial"/>
          <w:sz w:val="22"/>
          <w:szCs w:val="22"/>
        </w:rPr>
        <w:t>planing</w:t>
      </w:r>
      <w:proofErr w:type="spellEnd"/>
      <w:r w:rsidRPr="002B7E4F">
        <w:rPr>
          <w:rFonts w:ascii="Arial" w:hAnsi="Arial" w:cs="Arial"/>
          <w:sz w:val="22"/>
          <w:szCs w:val="22"/>
        </w:rPr>
        <w:t xml:space="preserve"> del contrato.</w:t>
      </w: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El almacenaje se deberá de ejecutar en el sitio más cercano al punto de la obra o de la instalación. El área de almacenaje deberá de estar confinada, techada y cerrada para evitar que el equipo entre en contacto con humedad o polvo.</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equipos de ventilación.</w:t>
      </w:r>
    </w:p>
    <w:p w:rsidR="002B7E4F" w:rsidRPr="002B7E4F" w:rsidRDefault="002B7E4F" w:rsidP="002B7E4F">
      <w:pPr>
        <w:jc w:val="both"/>
        <w:rPr>
          <w:rFonts w:ascii="Arial" w:hAnsi="Arial" w:cs="Arial"/>
          <w:sz w:val="22"/>
          <w:szCs w:val="22"/>
        </w:rPr>
      </w:pPr>
      <w:r w:rsidRPr="002B7E4F">
        <w:rPr>
          <w:rFonts w:ascii="Arial" w:hAnsi="Arial" w:cs="Arial"/>
          <w:sz w:val="22"/>
          <w:szCs w:val="22"/>
        </w:rPr>
        <w:t>Se contemplarán los puntos de almacenaje y que las condiciones sean adecuadas para que el equipo no sufra ninguna avería hasta su puesta en servicio.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 necesario contemplar los medios para las maniobras de carga y descarga así </w:t>
      </w:r>
      <w:proofErr w:type="spellStart"/>
      <w:r w:rsidRPr="002B7E4F">
        <w:rPr>
          <w:rFonts w:ascii="Arial" w:hAnsi="Arial" w:cs="Arial"/>
          <w:sz w:val="22"/>
          <w:szCs w:val="22"/>
        </w:rPr>
        <w:t>cómo</w:t>
      </w:r>
      <w:proofErr w:type="spellEnd"/>
      <w:r w:rsidRPr="002B7E4F">
        <w:rPr>
          <w:rFonts w:ascii="Arial" w:hAnsi="Arial" w:cs="Arial"/>
          <w:sz w:val="22"/>
          <w:szCs w:val="22"/>
        </w:rPr>
        <w:t xml:space="preserve"> el traslado desde el lugar de almacenamientos hasta el sitio de instalación de una forma segura.</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25"/>
        </w:numPr>
        <w:rPr>
          <w:sz w:val="22"/>
          <w:szCs w:val="22"/>
        </w:rPr>
      </w:pPr>
      <w:bookmarkStart w:id="8" w:name="_Toc368152449"/>
      <w:r w:rsidRPr="002B7E4F">
        <w:rPr>
          <w:sz w:val="22"/>
          <w:szCs w:val="22"/>
        </w:rPr>
        <w:t>Instalación</w:t>
      </w:r>
      <w:bookmarkEnd w:id="8"/>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del equipo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Se deberá de ubicar el sitio preciso de la ubicación del equipo, su posición en base a la entrada y salida de aire. 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suministrador de los equipos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suministrador de los equipos de ventilación,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25"/>
        </w:numPr>
        <w:tabs>
          <w:tab w:val="clear" w:pos="1440"/>
          <w:tab w:val="num" w:pos="851"/>
        </w:tabs>
        <w:ind w:left="851" w:hanging="851"/>
        <w:rPr>
          <w:rFonts w:ascii="Arial" w:hAnsi="Arial" w:cs="Arial"/>
          <w:b/>
          <w:sz w:val="22"/>
          <w:szCs w:val="22"/>
        </w:rPr>
      </w:pPr>
      <w:bookmarkStart w:id="9" w:name="_Toc368152450"/>
      <w:r w:rsidRPr="002B7E4F">
        <w:rPr>
          <w:rFonts w:ascii="Arial" w:hAnsi="Arial" w:cs="Arial"/>
          <w:b/>
          <w:sz w:val="22"/>
          <w:szCs w:val="22"/>
        </w:rPr>
        <w:lastRenderedPageBreak/>
        <w:t>Medición</w:t>
      </w:r>
      <w:bookmarkEnd w:id="9"/>
    </w:p>
    <w:p w:rsidR="002B7E4F" w:rsidRPr="002B7E4F" w:rsidRDefault="002B7E4F" w:rsidP="002B7E4F">
      <w:pPr>
        <w:jc w:val="both"/>
        <w:rPr>
          <w:rFonts w:ascii="Arial" w:hAnsi="Arial" w:cs="Arial"/>
          <w:sz w:val="22"/>
          <w:szCs w:val="22"/>
        </w:rPr>
      </w:pPr>
      <w:r w:rsidRPr="002B7E4F">
        <w:rPr>
          <w:rFonts w:ascii="Arial" w:hAnsi="Arial" w:cs="Arial"/>
          <w:sz w:val="22"/>
          <w:szCs w:val="22"/>
        </w:rPr>
        <w:t>Los ventiladores se medirán en un solo concepto por suministro de equipos en conjunto con el equipo totalmente instalado, incluyendo accesorios de fijación y montaje, inspecciones, pruebas con carga y sin carga, puesta en marcha y la capacitación del personal operativo. Gestión de licencias, activación y puesta en servicio del equipo. Conexiones de  tableros de control, limpieza del área de trabajo.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25"/>
        </w:numPr>
        <w:tabs>
          <w:tab w:val="clear" w:pos="1440"/>
          <w:tab w:val="num" w:pos="851"/>
        </w:tabs>
        <w:ind w:left="851" w:hanging="851"/>
        <w:rPr>
          <w:rFonts w:ascii="Arial" w:hAnsi="Arial" w:cs="Arial"/>
          <w:b/>
          <w:sz w:val="22"/>
          <w:szCs w:val="22"/>
        </w:rPr>
      </w:pPr>
      <w:bookmarkStart w:id="10" w:name="_Toc368152451"/>
      <w:r w:rsidRPr="002B7E4F">
        <w:rPr>
          <w:rFonts w:ascii="Arial" w:hAnsi="Arial" w:cs="Arial"/>
          <w:b/>
          <w:sz w:val="22"/>
          <w:szCs w:val="22"/>
        </w:rPr>
        <w:t>Pruebas y Ensayo</w:t>
      </w:r>
      <w:bookmarkEnd w:id="10"/>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suministrador y aprobado por la DO y bajo los lineamientos que marquen las normativas vigentes y aplicables.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de presentar certificados de las pruebas de fábrica realizadas a los equipos. Así mismo se realizaran pruebas en sitio.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25"/>
        </w:numPr>
        <w:rPr>
          <w:sz w:val="22"/>
          <w:szCs w:val="22"/>
        </w:rPr>
      </w:pPr>
      <w:bookmarkStart w:id="11" w:name="_Toc368152452"/>
      <w:r w:rsidRPr="002B7E4F">
        <w:rPr>
          <w:sz w:val="22"/>
          <w:szCs w:val="22"/>
        </w:rPr>
        <w:t>Garantías de calidad</w:t>
      </w:r>
      <w:bookmarkEnd w:id="11"/>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Por lo tanto el suministrador de los equipos,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w:t>
      </w:r>
      <w:proofErr w:type="spellStart"/>
      <w:r w:rsidRPr="002B7E4F">
        <w:rPr>
          <w:rFonts w:ascii="Arial" w:hAnsi="Arial" w:cs="Arial"/>
          <w:sz w:val="22"/>
          <w:szCs w:val="22"/>
        </w:rPr>
        <w:t>defetuosos</w:t>
      </w:r>
      <w:proofErr w:type="spellEnd"/>
      <w:r w:rsidRPr="002B7E4F">
        <w:rPr>
          <w:rFonts w:ascii="Arial" w:hAnsi="Arial" w:cs="Arial"/>
          <w:sz w:val="22"/>
          <w:szCs w:val="22"/>
        </w:rPr>
        <w:t xml:space="preserve">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25"/>
        </w:numPr>
        <w:rPr>
          <w:sz w:val="22"/>
          <w:szCs w:val="22"/>
        </w:rPr>
      </w:pPr>
      <w:bookmarkStart w:id="12" w:name="_Toc368152453"/>
      <w:r w:rsidRPr="002B7E4F">
        <w:rPr>
          <w:sz w:val="22"/>
          <w:szCs w:val="22"/>
        </w:rPr>
        <w:t>Garantías técnicas</w:t>
      </w:r>
      <w:bookmarkEnd w:id="12"/>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25"/>
        </w:numPr>
        <w:tabs>
          <w:tab w:val="clear" w:pos="1440"/>
          <w:tab w:val="num" w:pos="851"/>
        </w:tabs>
        <w:ind w:left="851" w:hanging="851"/>
        <w:rPr>
          <w:rFonts w:ascii="Arial" w:hAnsi="Arial" w:cs="Arial"/>
          <w:b/>
          <w:sz w:val="22"/>
          <w:szCs w:val="22"/>
        </w:rPr>
      </w:pPr>
      <w:bookmarkStart w:id="13" w:name="_Toc368152454"/>
      <w:r w:rsidRPr="002B7E4F">
        <w:rPr>
          <w:rFonts w:ascii="Arial" w:hAnsi="Arial" w:cs="Arial"/>
          <w:b/>
          <w:sz w:val="22"/>
          <w:szCs w:val="22"/>
        </w:rPr>
        <w:lastRenderedPageBreak/>
        <w:t>Base de Pago</w:t>
      </w:r>
      <w:bookmarkEnd w:id="1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sectPr w:rsidR="002B7E4F" w:rsidRPr="002B7E4F" w:rsidSect="00990E1E">
      <w:headerReference w:type="default" r:id="rId16"/>
      <w:footerReference w:type="even" r:id="rId17"/>
      <w:footerReference w:type="default" r:id="rId18"/>
      <w:footerReference w:type="first" r:id="rId19"/>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0232E">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32E"/>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43B7D-1BA5-4595-89D6-EC653E6FF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1559</Words>
  <Characters>8580</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10119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2014-04-10T22:20:00Z</dcterms:created>
  <dcterms:modified xsi:type="dcterms:W3CDTF">2014-04-10T22:20:00Z</dcterms:modified>
</cp:coreProperties>
</file>